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Urlaubsrichtlinie für Mitarbeiter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